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>Приложение № 1</w:t>
      </w: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>к Учетной политике администрации</w:t>
      </w: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="00CE5CAA" w:rsidRPr="00CE5CAA">
        <w:rPr>
          <w:rFonts w:ascii="Times New Roman" w:hAnsi="Times New Roman"/>
          <w:sz w:val="24"/>
          <w:szCs w:val="24"/>
        </w:rPr>
        <w:t>Поддубр</w:t>
      </w:r>
      <w:r w:rsidR="00CE32F4" w:rsidRPr="00CE5CAA">
        <w:rPr>
          <w:rFonts w:ascii="Times New Roman" w:hAnsi="Times New Roman"/>
          <w:sz w:val="24"/>
          <w:szCs w:val="24"/>
        </w:rPr>
        <w:t>овский</w:t>
      </w:r>
      <w:proofErr w:type="spellEnd"/>
      <w:r w:rsidRPr="00CE5CAA">
        <w:rPr>
          <w:rFonts w:ascii="Times New Roman" w:hAnsi="Times New Roman"/>
          <w:sz w:val="24"/>
          <w:szCs w:val="24"/>
        </w:rPr>
        <w:t xml:space="preserve"> сельсовет</w:t>
      </w: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5CAA">
        <w:rPr>
          <w:rFonts w:ascii="Times New Roman" w:hAnsi="Times New Roman"/>
          <w:b/>
          <w:sz w:val="24"/>
          <w:szCs w:val="24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:rsidR="00045C2C" w:rsidRPr="00CE5CAA" w:rsidRDefault="00045C2C" w:rsidP="004B49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>Право первой подписи первичных учетных документов, расчетных документов, финансовых обязательств имеют:</w:t>
      </w: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>Глава администрации</w:t>
      </w:r>
      <w:r w:rsidR="000747D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0747D7">
        <w:rPr>
          <w:rFonts w:ascii="Times New Roman" w:hAnsi="Times New Roman"/>
          <w:sz w:val="24"/>
          <w:szCs w:val="24"/>
        </w:rPr>
        <w:t>Атапин</w:t>
      </w:r>
      <w:proofErr w:type="spellEnd"/>
      <w:r w:rsidR="000747D7">
        <w:rPr>
          <w:rFonts w:ascii="Times New Roman" w:hAnsi="Times New Roman"/>
          <w:sz w:val="24"/>
          <w:szCs w:val="24"/>
        </w:rPr>
        <w:t xml:space="preserve"> Анатолий Александрович </w:t>
      </w: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 xml:space="preserve">Право второй подписи расчетных документов, финансовых обязательств имеют: </w:t>
      </w: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 xml:space="preserve">Главный специалист – эксперт </w:t>
      </w:r>
      <w:r w:rsidR="000747D7">
        <w:rPr>
          <w:rFonts w:ascii="Times New Roman" w:hAnsi="Times New Roman"/>
          <w:sz w:val="24"/>
          <w:szCs w:val="24"/>
        </w:rPr>
        <w:t>: Золотарева Елена Владимировна</w:t>
      </w: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21CB8">
      <w:pPr>
        <w:jc w:val="right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045C2C" w:rsidRPr="00CE5CAA" w:rsidRDefault="00045C2C" w:rsidP="00421CB8">
      <w:pPr>
        <w:jc w:val="right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 xml:space="preserve">  к распоряжению №</w:t>
      </w:r>
      <w:r w:rsidR="00CE32F4" w:rsidRPr="00CE5CAA">
        <w:rPr>
          <w:rFonts w:ascii="Times New Roman" w:hAnsi="Times New Roman"/>
          <w:sz w:val="24"/>
          <w:szCs w:val="24"/>
        </w:rPr>
        <w:t>_</w:t>
      </w:r>
      <w:proofErr w:type="gramStart"/>
      <w:r w:rsidR="00CE32F4" w:rsidRPr="00CE5CAA">
        <w:rPr>
          <w:rFonts w:ascii="Times New Roman" w:hAnsi="Times New Roman"/>
          <w:sz w:val="24"/>
          <w:szCs w:val="24"/>
        </w:rPr>
        <w:t>_</w:t>
      </w:r>
      <w:r w:rsidRPr="00CE5CAA">
        <w:rPr>
          <w:rFonts w:ascii="Times New Roman" w:hAnsi="Times New Roman"/>
          <w:sz w:val="24"/>
          <w:szCs w:val="24"/>
        </w:rPr>
        <w:t>-</w:t>
      </w:r>
      <w:proofErr w:type="gramEnd"/>
      <w:r w:rsidRPr="00CE5CAA">
        <w:rPr>
          <w:rFonts w:ascii="Times New Roman" w:hAnsi="Times New Roman"/>
          <w:sz w:val="24"/>
          <w:szCs w:val="24"/>
        </w:rPr>
        <w:t>р от 2</w:t>
      </w:r>
      <w:r w:rsidR="00CE32F4" w:rsidRPr="00CE5CAA">
        <w:rPr>
          <w:rFonts w:ascii="Times New Roman" w:hAnsi="Times New Roman"/>
          <w:sz w:val="24"/>
          <w:szCs w:val="24"/>
        </w:rPr>
        <w:t>9</w:t>
      </w:r>
      <w:r w:rsidRPr="00CE5CAA">
        <w:rPr>
          <w:rFonts w:ascii="Times New Roman" w:hAnsi="Times New Roman"/>
          <w:sz w:val="24"/>
          <w:szCs w:val="24"/>
        </w:rPr>
        <w:t>.12.201</w:t>
      </w:r>
      <w:r w:rsidR="00CE32F4" w:rsidRPr="00CE5CAA">
        <w:rPr>
          <w:rFonts w:ascii="Times New Roman" w:hAnsi="Times New Roman"/>
          <w:sz w:val="24"/>
          <w:szCs w:val="24"/>
        </w:rPr>
        <w:t>8</w:t>
      </w:r>
      <w:r w:rsidRPr="00CE5CAA">
        <w:rPr>
          <w:rFonts w:ascii="Times New Roman" w:hAnsi="Times New Roman"/>
          <w:sz w:val="24"/>
          <w:szCs w:val="24"/>
        </w:rPr>
        <w:t xml:space="preserve">г </w:t>
      </w:r>
    </w:p>
    <w:p w:rsidR="00045C2C" w:rsidRPr="00CE5CAA" w:rsidRDefault="00045C2C" w:rsidP="00421CB8">
      <w:pPr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21CB8">
      <w:pPr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21CB8">
      <w:pPr>
        <w:jc w:val="center"/>
        <w:rPr>
          <w:rFonts w:ascii="Times New Roman" w:hAnsi="Times New Roman"/>
          <w:b/>
          <w:sz w:val="24"/>
          <w:szCs w:val="24"/>
        </w:rPr>
      </w:pPr>
      <w:r w:rsidRPr="00CE5CAA">
        <w:rPr>
          <w:rFonts w:ascii="Times New Roman" w:hAnsi="Times New Roman"/>
          <w:b/>
          <w:sz w:val="24"/>
          <w:szCs w:val="24"/>
        </w:rPr>
        <w:t xml:space="preserve">Положение о формах и порядке формирования регистров бюджетного учета, первичных документов и порядка их архивации </w:t>
      </w:r>
    </w:p>
    <w:p w:rsidR="00045C2C" w:rsidRPr="00CE5CAA" w:rsidRDefault="00045C2C" w:rsidP="00421C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b/>
          <w:bCs/>
          <w:sz w:val="24"/>
          <w:szCs w:val="24"/>
        </w:rPr>
        <w:t>1. Основные положения</w:t>
      </w:r>
    </w:p>
    <w:p w:rsidR="00045C2C" w:rsidRPr="00CE5CAA" w:rsidRDefault="00045C2C" w:rsidP="00CE32F4">
      <w:pPr>
        <w:autoSpaceDE w:val="0"/>
        <w:autoSpaceDN w:val="0"/>
        <w:adjustRightInd w:val="0"/>
        <w:rPr>
          <w:rFonts w:ascii="Times New Roman" w:hAnsi="Times New Roman"/>
          <w:color w:val="0070C0"/>
          <w:sz w:val="24"/>
          <w:szCs w:val="24"/>
        </w:rPr>
      </w:pPr>
      <w:r w:rsidRPr="00CE5CAA">
        <w:rPr>
          <w:rFonts w:ascii="Times New Roman" w:hAnsi="Times New Roman"/>
          <w:sz w:val="24"/>
          <w:szCs w:val="24"/>
        </w:rPr>
        <w:tab/>
      </w:r>
      <w:r w:rsidRPr="00CE5CAA">
        <w:rPr>
          <w:rFonts w:ascii="Times New Roman" w:hAnsi="Times New Roman"/>
          <w:color w:val="000000"/>
          <w:sz w:val="24"/>
          <w:szCs w:val="24"/>
        </w:rPr>
        <w:tab/>
        <w:t xml:space="preserve">Все операции, проводимые учреждениями, оформляются первичными документами, оформленными в соответствие с требованиями  </w:t>
      </w:r>
      <w:r w:rsidRPr="00CE5CAA">
        <w:rPr>
          <w:rFonts w:ascii="Times New Roman" w:hAnsi="Times New Roman"/>
          <w:color w:val="0070C0"/>
          <w:sz w:val="24"/>
          <w:szCs w:val="24"/>
        </w:rPr>
        <w:t xml:space="preserve">Федерального Закона "О бухгалтерском учете" от 22 ноября </w:t>
      </w:r>
      <w:smartTag w:uri="urn:schemas-microsoft-com:office:smarttags" w:element="metricconverter">
        <w:smartTagPr>
          <w:attr w:name="ProductID" w:val="2011 г"/>
        </w:smartTagPr>
        <w:r w:rsidRPr="00CE5CAA">
          <w:rPr>
            <w:rFonts w:ascii="Times New Roman" w:hAnsi="Times New Roman"/>
            <w:color w:val="0070C0"/>
            <w:sz w:val="24"/>
            <w:szCs w:val="24"/>
          </w:rPr>
          <w:t>2011 г</w:t>
        </w:r>
      </w:smartTag>
      <w:r w:rsidRPr="00CE5CAA">
        <w:rPr>
          <w:rFonts w:ascii="Times New Roman" w:hAnsi="Times New Roman"/>
          <w:color w:val="0070C0"/>
          <w:sz w:val="24"/>
          <w:szCs w:val="24"/>
        </w:rPr>
        <w:t>. N 402-ФЗ и Приказом Минфина РФ  от 06.12.2010г. №162н «Об  утверждении Инструкции по бюджетному учету»</w:t>
      </w:r>
      <w:r w:rsidRPr="00CE5CAA">
        <w:rPr>
          <w:rFonts w:ascii="Times New Roman" w:hAnsi="Times New Roman"/>
          <w:sz w:val="24"/>
          <w:szCs w:val="24"/>
        </w:rPr>
        <w:t xml:space="preserve">,  Положения </w:t>
      </w:r>
      <w:r w:rsidRPr="00CE5CAA">
        <w:rPr>
          <w:rFonts w:ascii="Times New Roman" w:hAnsi="Times New Roman"/>
          <w:color w:val="0070C0"/>
          <w:sz w:val="24"/>
          <w:szCs w:val="24"/>
        </w:rPr>
        <w:t>о реализации единой государственной учетной политики в учреждении на 2017год»</w:t>
      </w:r>
      <w:r w:rsidRPr="00CE5CAA">
        <w:rPr>
          <w:rFonts w:ascii="Times New Roman" w:hAnsi="Times New Roman"/>
          <w:color w:val="0070C0"/>
          <w:sz w:val="24"/>
          <w:szCs w:val="24"/>
        </w:rPr>
        <w:tab/>
      </w:r>
      <w:r w:rsidRPr="00CE5CAA">
        <w:rPr>
          <w:rFonts w:ascii="Times New Roman" w:hAnsi="Times New Roman"/>
          <w:color w:val="0070C0"/>
          <w:sz w:val="24"/>
          <w:szCs w:val="24"/>
        </w:rPr>
        <w:tab/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Перечень лиц, имеющих право подписи первичных учетных документов, утверждает руководитель организации по согласованию с главным бухгалтером.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Документы, которыми оформляются хозяйственные операции с денежными средствами, подписываются руководителем организации и главным бухгалтером или уполномоченными ими на то лицами.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Первичный учетный документ должен быть составлен в момент совершения операции, а если это не представляется возможным - непосредственно после ее окончания.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Первичные  учетные документы, а также регистры бюджетного учета формируются на русском языке с применением кодов (сокращений), установленных обычаями делопроизводства по учреждению.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Своевременное и качественное оформление первичных учетных документов, передачу их в установленные сроки для отражения в бухгалтерском учете, а также достоверность содержащихся в них данных обеспечивают лица, составившие и подписавшие эти документы.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Внесение исправлений в кассовые и банковские документы не допускается. В остальные первичные учетные документы исправления могут вноситься лишь по согласованию с участниками хозяйственных операций, что должно быть подтверждено подписями тех же лиц, которые подписали документы, с указанием даты внесения исправлений.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Внесений исправлений в регистры бюджетного учета производятся в порядке, предусмотренном Инструкцией № 162н только при разрешении главного бухгалтера.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Для осуществления контроля и упорядочения обработки данных о хозяйственных операциях на основе первичных учетных документов составляются сводные учетные документы.</w:t>
      </w:r>
    </w:p>
    <w:p w:rsidR="00CE32F4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 xml:space="preserve">Первичные и сводные учетные документы могут составляться на бумажных и машинных носителях информации. 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 xml:space="preserve">Учреждение обеспечивает изготовление учетных документов на бумажных </w:t>
      </w:r>
      <w:proofErr w:type="gramStart"/>
      <w:r w:rsidRPr="00CE5CAA">
        <w:rPr>
          <w:rFonts w:ascii="Times New Roman" w:hAnsi="Times New Roman"/>
          <w:color w:val="000000"/>
          <w:sz w:val="24"/>
          <w:szCs w:val="24"/>
        </w:rPr>
        <w:t>носителях</w:t>
      </w:r>
      <w:proofErr w:type="gramEnd"/>
      <w:r w:rsidRPr="00CE5CAA">
        <w:rPr>
          <w:rFonts w:ascii="Times New Roman" w:hAnsi="Times New Roman"/>
          <w:color w:val="000000"/>
          <w:sz w:val="24"/>
          <w:szCs w:val="24"/>
        </w:rPr>
        <w:t xml:space="preserve"> как для других участников хозяйственных операций, так  и для формирования архива.</w:t>
      </w:r>
    </w:p>
    <w:p w:rsidR="00045C2C" w:rsidRPr="00CE5CAA" w:rsidRDefault="00045C2C" w:rsidP="00CE32F4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lastRenderedPageBreak/>
        <w:t>Главный бухгалтер обеспечивает изготовление копий документов, сформированных на машинных  (магнитных) носителях с соблюдением периодичности, установленной по учреждению, а также по требованию органов, осуществляющих контроль в соответствии с законодательством Российской Федерации, суда и прокуратуры.</w:t>
      </w:r>
    </w:p>
    <w:p w:rsidR="00045C2C" w:rsidRPr="00CE5CAA" w:rsidRDefault="00045C2C" w:rsidP="00CE32F4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E5CAA">
        <w:rPr>
          <w:rFonts w:ascii="Times New Roman" w:hAnsi="Times New Roman"/>
          <w:color w:val="000000"/>
          <w:sz w:val="24"/>
          <w:szCs w:val="24"/>
        </w:rPr>
        <w:t>При изъятии первичных учетных документов, регистров бюджетного учета органами дознания, предварительного следствия и прокуратуры, судами, налоговыми инспекциями и органами внутренних дел на основании их постановлений главный бухгалтер учреждения с разрешения и в присутствии представителей органов, проводящих изъятие документов обязан обеспечить формирование реестра изъятых документов с  указанием основания и даты изъятия, а также с приложением копий таковых.</w:t>
      </w:r>
      <w:proofErr w:type="gramEnd"/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По истечении каждого отчетного месяца первичные учетные документы, относящиеся к соответствующим журналам операций (регистрам бюджетного учета), должны быть подобраны в хронологическом порядке и сброшюрованы. При незначительном количестве документов брошюровку можно производить за несколько месяцев в одну папку (дело). На обложке следует указать: наименование учреждения; название и порядковый номер папки (дела); отчетный период - год и месяц; начальный и последний номера журналов операций; количество листов в папке (деле).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Способ хранения регистров бухгалтерского учета, первичных учетных документов должно обеспечивать их защиту от несанкционированных исправлений, утере целостности информации в них и сохранности самих документов.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color w:val="000000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 xml:space="preserve">Выполнение соответствующих требований к хранению документов осуществляет лицо, ответственное за их формирование до момента их сдачи в бухгалтерскую службу учреждения, а после сдачи в бухгалтерию главным бухгалтером или лицом им назначенным. </w:t>
      </w:r>
      <w:bookmarkStart w:id="0" w:name="_GoBack"/>
      <w:bookmarkEnd w:id="0"/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В случае пропажи или уничтожения первичных учетных документов и регистров бюджетного учета руководитель учреждения назначает приказом комиссию по расследованию причин их пропажи или уничтожения.</w:t>
      </w:r>
    </w:p>
    <w:p w:rsidR="00045C2C" w:rsidRPr="00CE5CAA" w:rsidRDefault="00045C2C" w:rsidP="00421CB8">
      <w:pPr>
        <w:autoSpaceDE w:val="0"/>
        <w:autoSpaceDN w:val="0"/>
        <w:adjustRightInd w:val="0"/>
        <w:ind w:firstLine="485"/>
        <w:jc w:val="both"/>
        <w:rPr>
          <w:rFonts w:ascii="Times New Roman" w:hAnsi="Times New Roman"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При необходимости для участия в работе комиссии приглашаются представители следственных органов, охраны и государственного пожарного надзора.</w:t>
      </w:r>
    </w:p>
    <w:p w:rsidR="00045C2C" w:rsidRPr="00CE5CAA" w:rsidRDefault="00045C2C" w:rsidP="00421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E5CAA">
        <w:rPr>
          <w:rFonts w:ascii="Times New Roman" w:hAnsi="Times New Roman"/>
          <w:color w:val="000000"/>
          <w:sz w:val="24"/>
          <w:szCs w:val="24"/>
        </w:rPr>
        <w:t>Результаты работы комиссии оформляются актом, который утверждается руководителем учреждения. Копия акта направляется в вышестоящее учреждение.</w:t>
      </w: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5C2C" w:rsidRPr="00CE5CAA" w:rsidRDefault="00045C2C" w:rsidP="004B4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45C2C" w:rsidRPr="00CE5CAA" w:rsidSect="00677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4B49EF"/>
    <w:rsid w:val="000132C4"/>
    <w:rsid w:val="00045C2C"/>
    <w:rsid w:val="000747D7"/>
    <w:rsid w:val="00246545"/>
    <w:rsid w:val="00250E99"/>
    <w:rsid w:val="003865A6"/>
    <w:rsid w:val="00421CB8"/>
    <w:rsid w:val="004A1418"/>
    <w:rsid w:val="004A3A93"/>
    <w:rsid w:val="004B49EF"/>
    <w:rsid w:val="006774DA"/>
    <w:rsid w:val="00974EAB"/>
    <w:rsid w:val="009825A3"/>
    <w:rsid w:val="00CE32F4"/>
    <w:rsid w:val="00CE5CAA"/>
    <w:rsid w:val="00D33FCB"/>
    <w:rsid w:val="00DB3F35"/>
    <w:rsid w:val="00DF0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D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49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2F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D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49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2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4</cp:revision>
  <cp:lastPrinted>2018-03-29T08:41:00Z</cp:lastPrinted>
  <dcterms:created xsi:type="dcterms:W3CDTF">2018-03-29T08:42:00Z</dcterms:created>
  <dcterms:modified xsi:type="dcterms:W3CDTF">2018-05-07T09:39:00Z</dcterms:modified>
</cp:coreProperties>
</file>